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GEİ KONTROL SİSTEMLERİ DERSİ GÜNLÜK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Geçiş Kontrol Sistemleri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22-26 Aralk (16.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4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2. Geçiş kontrol sistemlerinde kablo hat tespiti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Geçiş kontrol sistemlerinin krokisini teknik resim kurallarına göre çizer.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geçiş kontrol sistemleri, kataloglar, el ve ölçü aletleri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Mehmet Akif Ersoy'u Anma Haftası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GÜVENLİK UYARISI: Planınızda uygun olmayan ifadeler tespit edildi. Lütfen planınızı Milli Eğitim Bakanlığı ilkelerine uygun şekilde düzenleyiniz.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25.11.2025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