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EĞİTİM-ÖRETİM YILI  GAZİPAŞA MESLEKİ VE TEKNİK ANADOLU LİSESİ ELEKTRİK-ELEKTRONİK TEKNOLOJİSİ ALANI 11. SINIF  MİKRODENETLEYİCİLER VE GVENLİK ATöLYESİ DERS GNLK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Mikrodenetleyiciler Ve Güvenlik Atölyesi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11</w:t>
            </w:r>
          </w:p>
        </w:tc>
        <w:tc>
          <w:tcPr>
            <w:tcW w:w="1275" w:type="dxa"/>
            <w:shd w:val="clear" w:color="auto" w:fill="F7F7F7"/>
          </w:tcPr>
          <w:p w:rsidR="00533886" w:rsidRPr="006C4D7F" w:rsidRDefault="00533886" w:rsidP="00E46E9A">
            <w:pPr>
              <w:pStyle w:val="TableParagraph"/>
              <w:ind w:left="77"/>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rsidR="00533886" w:rsidRPr="006C4D7F" w:rsidRDefault="00533886" w:rsidP="00533886">
            <w:pPr>
              <w:pStyle w:val="TableParagraph"/>
              <w:ind w:left="79"/>
              <w:rPr>
                <w:sz w:val="18"/>
                <w:szCs w:val="18"/>
              </w:rPr>
            </w:pPr>
            <w:r w:rsidRPr="006C4D7F">
              <w:rPr>
                <w:color w:val="202529"/>
                <w:sz w:val="18"/>
                <w:szCs w:val="18"/>
              </w:rPr>
              <w:t>10-14 Şubat (23. Hafta)</w:t>
            </w:r>
          </w:p>
        </w:tc>
        <w:tc>
          <w:tcPr>
            <w:tcW w:w="1128" w:type="dxa"/>
            <w:shd w:val="clear" w:color="auto" w:fill="F7F7F7"/>
          </w:tcPr>
          <w:p w:rsidR="00533886" w:rsidRPr="006C4D7F" w:rsidRDefault="00533886" w:rsidP="00E46E9A">
            <w:pPr>
              <w:pStyle w:val="TableParagraph"/>
              <w:ind w:left="86"/>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Saati</w:t>
            </w:r>
            <w:proofErr w:type="spellEnd"/>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9</w:t>
            </w:r>
            <w:r w:rsidR="00012E43">
              <w:rPr>
                <w:color w:val="202529"/>
                <w:spacing w:val="-10"/>
                <w:sz w:val="18"/>
                <w:szCs w:val="18"/>
              </w:rPr>
              <w:t xml:space="preserve"> </w:t>
            </w:r>
            <w:proofErr w:type="spellStart"/>
            <w:r w:rsidR="00012E43">
              <w:rPr>
                <w:color w:val="202529"/>
                <w:spacing w:val="-10"/>
                <w:sz w:val="18"/>
                <w:szCs w:val="18"/>
              </w:rPr>
              <w:t>Saat</w:t>
            </w:r>
            <w:proofErr w:type="spellEnd"/>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w:t>
            </w:r>
            <w:proofErr w:type="spellStart"/>
            <w:r w:rsidRPr="006C4D7F">
              <w:rPr>
                <w:b/>
                <w:color w:val="202529"/>
                <w:spacing w:val="-2"/>
                <w:sz w:val="18"/>
                <w:szCs w:val="18"/>
              </w:rPr>
              <w:t>Tema</w:t>
            </w:r>
            <w:proofErr w:type="spellEnd"/>
            <w:r w:rsidRPr="006C4D7F">
              <w:rPr>
                <w:b/>
                <w:color w:val="202529"/>
                <w:spacing w:val="-2"/>
                <w:sz w:val="18"/>
                <w:szCs w:val="18"/>
              </w:rPr>
              <w:t xml:space="preserve">/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2.4. Gaz dedektörü bağlantısı2.5. Buton bağlantısı2.6. Siren bağlantısı</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Yangın alarm sisteminin donanımlarının bağlantısını yapar.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w:t>
            </w:r>
            <w:proofErr w:type="spellStart"/>
            <w:r>
              <w:rPr>
                <w:b/>
                <w:color w:val="202529"/>
                <w:spacing w:val="-2"/>
                <w:sz w:val="18"/>
                <w:szCs w:val="18"/>
              </w:rPr>
              <w:t>Teknik</w:t>
            </w:r>
            <w:proofErr w:type="spellEnd"/>
            <w:r>
              <w:rPr>
                <w:b/>
                <w:color w:val="202529"/>
                <w:spacing w:val="-2"/>
                <w:sz w:val="18"/>
                <w:szCs w:val="18"/>
              </w:rPr>
              <w:t xml:space="preserve">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bireysel öğretim,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Etkileşimli tahta/projeksiyon, bilgisayar, mikrodenetleyici, sensörler, motor ve sürücüleri, lojik entegreler, alarm tesisat donanımları</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w:t>
            </w:r>
            <w:proofErr w:type="spellStart"/>
            <w:r w:rsidRPr="006C4D7F">
              <w:rPr>
                <w:b/>
                <w:color w:val="202529"/>
                <w:spacing w:val="-2"/>
                <w:sz w:val="18"/>
                <w:szCs w:val="18"/>
              </w:rPr>
              <w:t>Gün</w:t>
            </w:r>
            <w:proofErr w:type="spellEnd"/>
            <w:r w:rsidRPr="006C4D7F">
              <w:rPr>
                <w:b/>
                <w:color w:val="202529"/>
                <w:spacing w:val="-2"/>
                <w:sz w:val="18"/>
                <w:szCs w:val="18"/>
              </w:rPr>
              <w:t xml:space="preserve">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Yangın Alarm Sistemi Donanım Bağlantıları Ders Planı</w:t>
              <w:br/>
              <w:t>Genel Bilgiler</w:t>
              <w:br/>
              <w:t/>
              <w:br/>
              <w:t/>
              <w:br/>
              <w:t>Ders Süresi: 360 dakika (9 ders saati)</w:t>
              <w:br/>
              <w:t/>
              <w:br/>
              <w:t>Dersin Amacı: Öğrencilerin yangın alarm sisteminin donanımlarını tanıması, bağlantılarını yapması ve sistemin çalışma prensiplerini anlaması.</w:t>
              <w:br/>
              <w:t/>
              <w:br/>
              <w:t>Öğrenme-Öğretme Süreci</w:t>
              <w:br/>
              <w:t/>
              <w:br/>
              <w:t/>
              <w:br/>
              <w:t>Giriş ve Temel Kavramlar (1. ve 2. ders saati)</w:t>
              <w:br/>
              <w:t/>
              <w:br/>
              <w:t/>
              <w:br/>
              <w:t>Amaç: Yangın alarm sisteminin temel bileşenlerini tanıtmak.</w:t>
              <w:br/>
              <w:t/>
              <w:br/>
              <w:t>Etkinlik: Öğrencilerle birlikte yangın alarm sisteminin bileşenlerini (sensörler, alarm, kontrol paneli) tanımlama.</w:t>
              <w:br/>
              <w:t/>
              <w:br/>
              <w:t>Açıklama: Yangın alarm sisteminin nasıl çalıştığını ve bileşenlerin işlevlerini açıklayın. Görsel materyaller kullanarak öğrencilerin dikkatini çekin.</w:t>
              <w:br/>
              <w:t/>
              <w:br/>
              <w:t>Farklı Öğrenme Stilleri: Görsel (grafikler), işitsel (sunum) ve kinestetik (bileşenleri inceleme).</w:t>
              <w:br/>
              <w:t/>
              <w:br/>
              <w:t/>
              <w:br/>
              <w:t/>
              <w:br/>
              <w:t>Donanım Bağlantıları (3. ve 4. ders saati)</w:t>
              <w:br/>
              <w:t/>
              <w:br/>
              <w:t/>
              <w:br/>
              <w:t>Amaç: Öğrencilerin yangın alarm sistemi donanımlarını nasıl bağlayacaklarını öğretmek.</w:t>
              <w:br/>
              <w:t/>
              <w:br/>
              <w:t>Etkinlik: Öğrenciler gruplara ayrılarak, verilen donanımları kullanarak bir yangın alarm sistemi kuracaklar.</w:t>
              <w:br/>
              <w:t/>
              <w:br/>
              <w:t>Açıklama: Her bileşenin nasıl bağlandığını ve hangi bağlantıların yapılması gerektiğini gösterin. Örnek bir bağlantı şeması üzerinde çalışın.</w:t>
              <w:br/>
              <w:t/>
              <w:br/>
              <w:t>Farklı Öğrenme Stilleri: Gruplar halinde çalışma, uygulamalı deneyim.</w:t>
              <w:br/>
              <w:t/>
              <w:br/>
              <w:t/>
              <w:br/>
              <w:t/>
              <w:br/>
              <w:t>Sistem Testi ve Hata Ayıklama (5. ders saati)</w:t>
              <w:br/>
              <w:t/>
              <w:br/>
              <w:t/>
              <w:br/>
              <w:t>Amaç: Öğrencilerin kurdukları sistemin test edilmesi ve hata ayıklama becerilerini geliştirmek.</w:t>
              <w:br/>
              <w:t/>
              <w:br/>
              <w:t>Etkinlik: Öğrenciler, kurdukları sistemi test edecek ve olası hataları bulmaya çalışacaklar.</w:t>
              <w:br/>
              <w:t/>
              <w:br/>
              <w:t>Açıklama: Hata ayıklama tekniklerini öğretin ve öğrencilerin sorunları çözmesine yardımcı olun.</w:t>
              <w:br/>
              <w:t/>
              <w:br/>
              <w:t>Farklı Öğrenme Stilleri: Problem çözme, işbirliği.</w:t>
              <w:br/>
              <w:t/>
              <w:br/>
              <w:t/>
              <w:br/>
              <w:t/>
              <w:br/>
              <w:t>Gerçek Hayat Uygulamaları (6. ders saati)</w:t>
              <w:br/>
              <w:t/>
              <w:br/>
              <w:t/>
              <w:br/>
              <w:t>Amaç: Yangın alarm sistemlerinin günlük hayattaki önemini vurgulamak.</w:t>
              <w:br/>
              <w:t/>
              <w:br/>
              <w:t>Etkinlik: Öğrenciler, yerel bir iş yerinde yangın alarm sisteminin nasıl çalıştığını gözlemleyecekler.</w:t>
              <w:br/>
              <w:t/>
              <w:br/>
              <w:t>Açıklama: Yangın güvenliğinin önemini ve sistemlerin iş yerlerindeki rolünü tartışın.</w:t>
              <w:br/>
              <w:t/>
              <w:br/>
              <w:t>Farklı Öğrenme Stilleri: Gözlem, tartışma.</w:t>
              <w:br/>
              <w:t/>
              <w:br/>
              <w:t/>
              <w:br/>
              <w:t/>
              <w:br/>
              <w:t>Proje Çalışması ve Sunum (7. - 9. ders saati)</w:t>
              <w:br/>
              <w:t/>
              <w:br/>
              <w:t/>
              <w:br/>
              <w:t>Amaç: Öğrencilerin öğrendiklerini uygulamaya dökmesi ve sunum becerilerini geliştirmesi.</w:t>
              <w:br/>
              <w:t/>
              <w:br/>
              <w:t>Etkinlik: Her grup, kurdukları yangın alarm sistemini sınıfa sunacak ve sistemin işleyişini anlatacak.</w:t>
              <w:br/>
              <w:t/>
              <w:br/>
              <w:t>Açıklama: Sunum teknikleri hakkında bilgi verin ve öğrencilerin geri bildirim almasını sağlayın.</w:t>
              <w:br/>
              <w:t/>
              <w:br/>
              <w:t>Farklı Öğrenme Stilleri: Sunum, geri bildirim alma.</w:t>
              <w:br/>
              <w:t/>
              <w:br/>
              <w:t/>
              <w:br/>
              <w:t/>
              <w:br/>
              <w:t>Değerlendirme Ölçütleri</w:t>
              <w:br/>
              <w:t/>
              <w:br/>
              <w:t/>
              <w:br/>
              <w:t>Pratik Uygulama Değerlendirmesi</w:t>
              <w:br/>
              <w:t/>
              <w:br/>
              <w:t/>
              <w:br/>
              <w:t>Örnek Soru: Öğrenciler, verilen bileşenleri kullanarak bir yangın alarm sistemi kurmalıdır.</w:t>
              <w:br/>
              <w:t/>
              <w:br/>
              <w:t>Kriterler: Doğru bağlantılar, sistemin çalışması, zaman yönetimi.</w:t>
              <w:br/>
              <w:t/>
              <w:br/>
              <w:t/>
              <w:br/>
              <w:t/>
              <w:br/>
              <w:t>Teorik Bilgi Değerlendirmesi</w:t>
              <w:br/>
              <w:t/>
              <w:br/>
              <w:t/>
              <w:br/>
              <w:t>Örnek Soru: Yangın alarm sisteminin bileşenlerini ve işlevlerini açıklayın.</w:t>
              <w:br/>
              <w:t/>
              <w:br/>
              <w:t>Kriterler: Bileşenlerin doğru tanımı, işlevlerinin açıklanması.</w:t>
              <w:br/>
              <w:t/>
              <w:br/>
              <w:t/>
              <w:br/>
              <w:t/>
              <w:br/>
              <w:t>Sunum Değerlendirmesi</w:t>
              <w:br/>
              <w:t/>
              <w:br/>
              <w:t/>
              <w:br/>
              <w:t>Örnek Soru: Kurduğunuz yangın alarm sisteminin çalışma prensiplerini anlatın.</w:t>
              <w:br/>
              <w:t/>
              <w:br/>
              <w:t>Kriterler: Sunumun akıcılığı, içerik derinliği, görsel materyal kullanımı.</w:t>
              <w:br/>
              <w:t/>
              <w:br/>
              <w:t/>
              <w:br/>
              <w:t/>
              <w:br/>
              <w:t>Günlük Hayatla Bağlantılar</w:t>
              <w:br/>
              <w:t>Yangın alarm sistemleri, evlerde ve iş yerlerinde hayati öneme sahiptir. Öğrenciler, bu sistemlerin nasıl çalıştığını öğrenerek, güvenlik bilincini artıracak ve gelecekteki meslek hayatlarında bu bilgileri kullanabileceklerdir. Yangın güvenliği eğitimi, hem bireysel hem de toplumsal bir sorumluluktur.</w:t>
              <w:br/>
              <w:t>Bu ders planı, öğrencilerin bireysel farklılıklarını dikkate alarak, çeşitli öğrenme stillerine hitap eden etkinliklerle zenginleştirilmiştir. Öğrencilerin aktif katılımını teşvik eden bir yaklaşım benimsenmiştir.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12.02.2026</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bookmarkStart w:id="0" w:name="_GoBack"/>
      <w:bookmarkEnd w:id="0"/>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22</cp:revision>
  <dcterms:created xsi:type="dcterms:W3CDTF">2025-08-28T05:09:00Z</dcterms:created>
  <dcterms:modified xsi:type="dcterms:W3CDTF">2025-09-05T20:19:00Z</dcterms:modified>
</cp:coreProperties>
</file>